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8F" w:rsidRDefault="005B158F" w:rsidP="005B158F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December 8</w:t>
      </w:r>
      <w:r w:rsidRPr="005B158F">
        <w:rPr>
          <w:rFonts w:ascii="Tw Cen MT Condensed" w:hAnsi="Tw Cen MT Condensed"/>
          <w:sz w:val="20"/>
          <w:szCs w:val="20"/>
          <w:vertAlign w:val="superscript"/>
        </w:rPr>
        <w:t>th</w:t>
      </w:r>
      <w:r>
        <w:rPr>
          <w:rFonts w:ascii="Tw Cen MT Condensed" w:hAnsi="Tw Cen MT Condensed"/>
          <w:sz w:val="20"/>
          <w:szCs w:val="20"/>
        </w:rPr>
        <w:t>, 2011 – RA Counseling</w:t>
      </w:r>
    </w:p>
    <w:p w:rsidR="005B158F" w:rsidRDefault="005B158F" w:rsidP="005B158F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Change Element Goal:  Collaborate</w:t>
      </w:r>
    </w:p>
    <w:p w:rsidR="005B158F" w:rsidRDefault="005B158F" w:rsidP="005B158F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Continued to fine-tune framework for Tier II check in/check out implementation guide.  Based off of </w:t>
      </w:r>
      <w:r>
        <w:rPr>
          <w:rFonts w:ascii="Tw Cen MT Condensed" w:hAnsi="Tw Cen MT Condensed"/>
          <w:sz w:val="20"/>
          <w:szCs w:val="20"/>
          <w:u w:val="single"/>
        </w:rPr>
        <w:t>Responding to Problem Behavior in Schools</w:t>
      </w:r>
      <w:proofErr w:type="gramStart"/>
      <w:r>
        <w:rPr>
          <w:rFonts w:ascii="Tw Cen MT Condensed" w:hAnsi="Tw Cen MT Condensed"/>
          <w:sz w:val="20"/>
          <w:szCs w:val="20"/>
          <w:u w:val="single"/>
        </w:rPr>
        <w:t>:  The</w:t>
      </w:r>
      <w:proofErr w:type="gramEnd"/>
      <w:r>
        <w:rPr>
          <w:rFonts w:ascii="Tw Cen MT Condensed" w:hAnsi="Tw Cen MT Condensed"/>
          <w:sz w:val="20"/>
          <w:szCs w:val="20"/>
          <w:u w:val="single"/>
        </w:rPr>
        <w:t xml:space="preserve"> Behavior Education Program,</w:t>
      </w:r>
      <w:r>
        <w:rPr>
          <w:rFonts w:ascii="Tw Cen MT Condensed" w:hAnsi="Tw Cen MT Condensed"/>
          <w:sz w:val="20"/>
          <w:szCs w:val="20"/>
        </w:rPr>
        <w:t xml:space="preserve"> developed mini-guide for teachers to help with understanding of &amp; ease of process.  Compiled class lists to facilitate referral process as well as formatted information for staff to consider when identifying students who seem like they may be a good fit for check-in/checkout.</w:t>
      </w:r>
    </w:p>
    <w:p w:rsidR="005B158F" w:rsidRPr="00A23569" w:rsidRDefault="005B158F" w:rsidP="005B158F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 </w:t>
      </w:r>
    </w:p>
    <w:p w:rsidR="00DA7A4A" w:rsidRDefault="00DA7A4A"/>
    <w:sectPr w:rsidR="00DA7A4A" w:rsidSect="00DA7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158F"/>
    <w:rsid w:val="005B158F"/>
    <w:rsid w:val="00DA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8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58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447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2011-12-07T22:45:00Z</dcterms:created>
  <dcterms:modified xsi:type="dcterms:W3CDTF">2011-12-07T22:52:00Z</dcterms:modified>
</cp:coreProperties>
</file>